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10" w:rsidRPr="005F5ADF" w:rsidRDefault="00086902" w:rsidP="00AB33B0">
      <w:pPr>
        <w:jc w:val="center"/>
        <w:rPr>
          <w:rFonts w:ascii="Times New Roman" w:hAnsi="Times New Roman" w:cs="Times New Roman"/>
          <w:b/>
          <w:sz w:val="24"/>
          <w:szCs w:val="24"/>
        </w:rPr>
      </w:pPr>
      <w:r w:rsidRPr="005F5ADF">
        <w:rPr>
          <w:rFonts w:ascii="Times New Roman" w:hAnsi="Times New Roman" w:cs="Times New Roman"/>
          <w:b/>
          <w:sz w:val="24"/>
          <w:szCs w:val="24"/>
        </w:rPr>
        <w:t>Neuromuscular Blockade for Abdominal Surgery</w:t>
      </w:r>
    </w:p>
    <w:p w:rsidR="00AB33B0" w:rsidRPr="005F5ADF" w:rsidRDefault="00AB33B0">
      <w:pPr>
        <w:rPr>
          <w:rFonts w:ascii="Times New Roman" w:hAnsi="Times New Roman" w:cs="Times New Roman"/>
          <w:sz w:val="24"/>
          <w:szCs w:val="24"/>
        </w:rPr>
      </w:pPr>
    </w:p>
    <w:p w:rsidR="001C54B6" w:rsidRPr="005F5ADF" w:rsidRDefault="00A9138B">
      <w:pPr>
        <w:rPr>
          <w:rFonts w:ascii="Times New Roman" w:hAnsi="Times New Roman" w:cs="Times New Roman"/>
          <w:sz w:val="24"/>
          <w:szCs w:val="24"/>
        </w:rPr>
      </w:pPr>
      <w:r w:rsidRPr="005F5ADF">
        <w:rPr>
          <w:rFonts w:ascii="Times New Roman" w:hAnsi="Times New Roman" w:cs="Times New Roman"/>
          <w:sz w:val="24"/>
          <w:szCs w:val="24"/>
        </w:rPr>
        <w:t xml:space="preserve">Neuromuscular </w:t>
      </w:r>
      <w:r w:rsidR="001C54B6" w:rsidRPr="005F5ADF">
        <w:rPr>
          <w:rFonts w:ascii="Times New Roman" w:hAnsi="Times New Roman" w:cs="Times New Roman"/>
          <w:sz w:val="24"/>
          <w:szCs w:val="24"/>
        </w:rPr>
        <w:t>blockade</w:t>
      </w:r>
      <w:r w:rsidRPr="005F5ADF">
        <w:rPr>
          <w:rFonts w:ascii="Times New Roman" w:hAnsi="Times New Roman" w:cs="Times New Roman"/>
          <w:sz w:val="24"/>
          <w:szCs w:val="24"/>
        </w:rPr>
        <w:t xml:space="preserve"> </w:t>
      </w:r>
      <w:r w:rsidR="00316223" w:rsidRPr="005F5ADF">
        <w:rPr>
          <w:rFonts w:ascii="Times New Roman" w:hAnsi="Times New Roman" w:cs="Times New Roman"/>
          <w:sz w:val="24"/>
          <w:szCs w:val="24"/>
        </w:rPr>
        <w:t xml:space="preserve">(NMB) </w:t>
      </w:r>
      <w:r w:rsidR="001C54B6" w:rsidRPr="005F5ADF">
        <w:rPr>
          <w:rFonts w:ascii="Times New Roman" w:hAnsi="Times New Roman" w:cs="Times New Roman"/>
          <w:sz w:val="24"/>
          <w:szCs w:val="24"/>
        </w:rPr>
        <w:t>is</w:t>
      </w:r>
      <w:r w:rsidRPr="005F5ADF">
        <w:rPr>
          <w:rFonts w:ascii="Times New Roman" w:hAnsi="Times New Roman" w:cs="Times New Roman"/>
          <w:sz w:val="24"/>
          <w:szCs w:val="24"/>
        </w:rPr>
        <w:t xml:space="preserve"> commonly used </w:t>
      </w:r>
      <w:r w:rsidR="00CA650F" w:rsidRPr="005F5ADF">
        <w:rPr>
          <w:rFonts w:ascii="Times New Roman" w:hAnsi="Times New Roman" w:cs="Times New Roman"/>
          <w:sz w:val="24"/>
          <w:szCs w:val="24"/>
        </w:rPr>
        <w:t xml:space="preserve">during surgery for three purposes: </w:t>
      </w:r>
      <w:r w:rsidRPr="005F5ADF">
        <w:rPr>
          <w:rFonts w:ascii="Times New Roman" w:hAnsi="Times New Roman" w:cs="Times New Roman"/>
          <w:sz w:val="24"/>
          <w:szCs w:val="24"/>
        </w:rPr>
        <w:t xml:space="preserve">to </w:t>
      </w:r>
      <w:r w:rsidR="00CA650F" w:rsidRPr="005F5ADF">
        <w:rPr>
          <w:rFonts w:ascii="Times New Roman" w:hAnsi="Times New Roman" w:cs="Times New Roman"/>
          <w:sz w:val="24"/>
          <w:szCs w:val="24"/>
        </w:rPr>
        <w:t>facilitate intubation, to decrease patient movement, and to improve operating conditions</w:t>
      </w:r>
      <w:r w:rsidR="00006737" w:rsidRPr="005F5ADF">
        <w:rPr>
          <w:rFonts w:ascii="Times New Roman" w:hAnsi="Times New Roman" w:cs="Times New Roman"/>
          <w:sz w:val="24"/>
          <w:szCs w:val="24"/>
        </w:rPr>
        <w:t xml:space="preserve"> for the surgeon</w:t>
      </w:r>
      <w:r w:rsidR="004D5941" w:rsidRPr="005F5ADF">
        <w:rPr>
          <w:rFonts w:ascii="Times New Roman" w:hAnsi="Times New Roman" w:cs="Times New Roman"/>
          <w:sz w:val="24"/>
          <w:szCs w:val="24"/>
        </w:rPr>
        <w:t>.</w:t>
      </w:r>
      <w:r w:rsidR="000F3948" w:rsidRPr="005F5ADF">
        <w:rPr>
          <w:rFonts w:ascii="Times New Roman" w:hAnsi="Times New Roman" w:cs="Times New Roman"/>
          <w:sz w:val="24"/>
          <w:szCs w:val="24"/>
        </w:rPr>
        <w:t xml:space="preserve">  </w:t>
      </w:r>
      <w:proofErr w:type="spellStart"/>
      <w:r w:rsidR="00C675AF" w:rsidRPr="005F5ADF">
        <w:rPr>
          <w:rFonts w:ascii="Times New Roman" w:hAnsi="Times New Roman" w:cs="Times New Roman"/>
          <w:sz w:val="24"/>
          <w:szCs w:val="24"/>
        </w:rPr>
        <w:t>Succinylcholine</w:t>
      </w:r>
      <w:proofErr w:type="spellEnd"/>
      <w:r w:rsidR="00C675AF" w:rsidRPr="005F5ADF">
        <w:rPr>
          <w:rFonts w:ascii="Times New Roman" w:hAnsi="Times New Roman" w:cs="Times New Roman"/>
          <w:sz w:val="24"/>
          <w:szCs w:val="24"/>
        </w:rPr>
        <w:t xml:space="preserve"> or a non</w:t>
      </w:r>
      <w:r w:rsidR="005F5ADF" w:rsidRPr="005F5ADF">
        <w:rPr>
          <w:rFonts w:ascii="Times New Roman" w:hAnsi="Times New Roman" w:cs="Times New Roman"/>
          <w:sz w:val="24"/>
          <w:szCs w:val="24"/>
        </w:rPr>
        <w:t>-</w:t>
      </w:r>
      <w:r w:rsidR="00C675AF" w:rsidRPr="005F5ADF">
        <w:rPr>
          <w:rFonts w:ascii="Times New Roman" w:hAnsi="Times New Roman" w:cs="Times New Roman"/>
          <w:sz w:val="24"/>
          <w:szCs w:val="24"/>
        </w:rPr>
        <w:t xml:space="preserve">depolarizing </w:t>
      </w:r>
      <w:r w:rsidR="0075648E" w:rsidRPr="005F5ADF">
        <w:rPr>
          <w:rFonts w:ascii="Times New Roman" w:hAnsi="Times New Roman" w:cs="Times New Roman"/>
          <w:sz w:val="24"/>
          <w:szCs w:val="24"/>
        </w:rPr>
        <w:t xml:space="preserve">neuromuscular </w:t>
      </w:r>
      <w:r w:rsidR="00C675AF" w:rsidRPr="005F5ADF">
        <w:rPr>
          <w:rFonts w:ascii="Times New Roman" w:hAnsi="Times New Roman" w:cs="Times New Roman"/>
          <w:sz w:val="24"/>
          <w:szCs w:val="24"/>
        </w:rPr>
        <w:t>blocker is used for intubation, and non</w:t>
      </w:r>
      <w:r w:rsidR="005F5ADF">
        <w:rPr>
          <w:rFonts w:ascii="Times New Roman" w:hAnsi="Times New Roman" w:cs="Times New Roman"/>
          <w:sz w:val="24"/>
          <w:szCs w:val="24"/>
        </w:rPr>
        <w:t>-</w:t>
      </w:r>
      <w:r w:rsidR="00C675AF" w:rsidRPr="005F5ADF">
        <w:rPr>
          <w:rFonts w:ascii="Times New Roman" w:hAnsi="Times New Roman" w:cs="Times New Roman"/>
          <w:sz w:val="24"/>
          <w:szCs w:val="24"/>
        </w:rPr>
        <w:t xml:space="preserve">depolarizing blockers are </w:t>
      </w:r>
      <w:r w:rsidR="0075648E" w:rsidRPr="005F5ADF">
        <w:rPr>
          <w:rFonts w:ascii="Times New Roman" w:hAnsi="Times New Roman" w:cs="Times New Roman"/>
          <w:sz w:val="24"/>
          <w:szCs w:val="24"/>
        </w:rPr>
        <w:t xml:space="preserve">also </w:t>
      </w:r>
      <w:r w:rsidR="00C675AF" w:rsidRPr="005F5ADF">
        <w:rPr>
          <w:rFonts w:ascii="Times New Roman" w:hAnsi="Times New Roman" w:cs="Times New Roman"/>
          <w:sz w:val="24"/>
          <w:szCs w:val="24"/>
        </w:rPr>
        <w:t>used for maintenance of paralysis.</w:t>
      </w:r>
      <w:r w:rsidR="004D5941" w:rsidRPr="005F5ADF">
        <w:rPr>
          <w:rFonts w:ascii="Times New Roman" w:hAnsi="Times New Roman" w:cs="Times New Roman"/>
          <w:sz w:val="24"/>
          <w:szCs w:val="24"/>
        </w:rPr>
        <w:t xml:space="preserve">  Of the non</w:t>
      </w:r>
      <w:r w:rsidR="005F5ADF">
        <w:rPr>
          <w:rFonts w:ascii="Times New Roman" w:hAnsi="Times New Roman" w:cs="Times New Roman"/>
          <w:sz w:val="24"/>
          <w:szCs w:val="24"/>
        </w:rPr>
        <w:t>-</w:t>
      </w:r>
      <w:r w:rsidR="004D5941" w:rsidRPr="005F5ADF">
        <w:rPr>
          <w:rFonts w:ascii="Times New Roman" w:hAnsi="Times New Roman" w:cs="Times New Roman"/>
          <w:sz w:val="24"/>
          <w:szCs w:val="24"/>
        </w:rPr>
        <w:t xml:space="preserve">depolarizing </w:t>
      </w:r>
      <w:r w:rsidR="005F5ADF" w:rsidRPr="005F5ADF">
        <w:rPr>
          <w:rFonts w:ascii="Times New Roman" w:hAnsi="Times New Roman" w:cs="Times New Roman"/>
          <w:sz w:val="24"/>
          <w:szCs w:val="24"/>
        </w:rPr>
        <w:t xml:space="preserve">blockers, we most commonly use </w:t>
      </w:r>
      <w:proofErr w:type="spellStart"/>
      <w:r w:rsidR="005F5ADF" w:rsidRPr="005F5ADF">
        <w:rPr>
          <w:rFonts w:ascii="Times New Roman" w:hAnsi="Times New Roman" w:cs="Times New Roman"/>
          <w:sz w:val="24"/>
          <w:szCs w:val="24"/>
        </w:rPr>
        <w:t>R</w:t>
      </w:r>
      <w:r w:rsidR="004D5941" w:rsidRPr="005F5ADF">
        <w:rPr>
          <w:rFonts w:ascii="Times New Roman" w:hAnsi="Times New Roman" w:cs="Times New Roman"/>
          <w:sz w:val="24"/>
          <w:szCs w:val="24"/>
        </w:rPr>
        <w:t>ocuronium</w:t>
      </w:r>
      <w:proofErr w:type="spellEnd"/>
      <w:r w:rsidR="004D5941" w:rsidRPr="005F5ADF">
        <w:rPr>
          <w:rFonts w:ascii="Times New Roman" w:hAnsi="Times New Roman" w:cs="Times New Roman"/>
          <w:sz w:val="24"/>
          <w:szCs w:val="24"/>
        </w:rPr>
        <w:t xml:space="preserve"> at Stanford; however, our carts are also stocked </w:t>
      </w:r>
      <w:r w:rsidR="005F5ADF">
        <w:rPr>
          <w:rFonts w:ascii="Times New Roman" w:hAnsi="Times New Roman" w:cs="Times New Roman"/>
          <w:sz w:val="24"/>
          <w:szCs w:val="24"/>
        </w:rPr>
        <w:t xml:space="preserve">with </w:t>
      </w:r>
      <w:proofErr w:type="spellStart"/>
      <w:r w:rsidR="005F5ADF">
        <w:rPr>
          <w:rFonts w:ascii="Times New Roman" w:hAnsi="Times New Roman" w:cs="Times New Roman"/>
          <w:sz w:val="24"/>
          <w:szCs w:val="24"/>
        </w:rPr>
        <w:t>Vecuronium</w:t>
      </w:r>
      <w:proofErr w:type="spellEnd"/>
      <w:r w:rsidR="005F5ADF">
        <w:rPr>
          <w:rFonts w:ascii="Times New Roman" w:hAnsi="Times New Roman" w:cs="Times New Roman"/>
          <w:sz w:val="24"/>
          <w:szCs w:val="24"/>
        </w:rPr>
        <w:t xml:space="preserve"> and </w:t>
      </w:r>
      <w:proofErr w:type="spellStart"/>
      <w:r w:rsidR="005F5ADF">
        <w:rPr>
          <w:rFonts w:ascii="Times New Roman" w:hAnsi="Times New Roman" w:cs="Times New Roman"/>
          <w:sz w:val="24"/>
          <w:szCs w:val="24"/>
        </w:rPr>
        <w:t>P</w:t>
      </w:r>
      <w:r w:rsidR="004D5941" w:rsidRPr="005F5ADF">
        <w:rPr>
          <w:rFonts w:ascii="Times New Roman" w:hAnsi="Times New Roman" w:cs="Times New Roman"/>
          <w:sz w:val="24"/>
          <w:szCs w:val="24"/>
        </w:rPr>
        <w:t>ancuronium</w:t>
      </w:r>
      <w:proofErr w:type="spellEnd"/>
      <w:r w:rsidR="004D5941" w:rsidRPr="005F5ADF">
        <w:rPr>
          <w:rFonts w:ascii="Times New Roman" w:hAnsi="Times New Roman" w:cs="Times New Roman"/>
          <w:sz w:val="24"/>
          <w:szCs w:val="24"/>
        </w:rPr>
        <w:t xml:space="preserve">.  </w:t>
      </w:r>
      <w:proofErr w:type="spellStart"/>
      <w:r w:rsidR="004D5941" w:rsidRPr="005F5ADF">
        <w:rPr>
          <w:rFonts w:ascii="Times New Roman" w:hAnsi="Times New Roman" w:cs="Times New Roman"/>
          <w:sz w:val="24"/>
          <w:szCs w:val="24"/>
        </w:rPr>
        <w:t>Cisatracurium</w:t>
      </w:r>
      <w:proofErr w:type="spellEnd"/>
      <w:r w:rsidR="004D5941" w:rsidRPr="005F5ADF">
        <w:rPr>
          <w:rFonts w:ascii="Times New Roman" w:hAnsi="Times New Roman" w:cs="Times New Roman"/>
          <w:sz w:val="24"/>
          <w:szCs w:val="24"/>
        </w:rPr>
        <w:t xml:space="preserve"> is the neuromuscular blocker of choice in patients with hepatic or renal disease</w:t>
      </w:r>
      <w:r w:rsidR="00B41352" w:rsidRPr="005F5ADF">
        <w:rPr>
          <w:rFonts w:ascii="Times New Roman" w:hAnsi="Times New Roman" w:cs="Times New Roman"/>
          <w:sz w:val="24"/>
          <w:szCs w:val="24"/>
        </w:rPr>
        <w:t xml:space="preserve"> because of its organ-independent elimination by Hoffman degradation</w:t>
      </w:r>
      <w:r w:rsidR="004D5941" w:rsidRPr="005F5ADF">
        <w:rPr>
          <w:rFonts w:ascii="Times New Roman" w:hAnsi="Times New Roman" w:cs="Times New Roman"/>
          <w:sz w:val="24"/>
          <w:szCs w:val="24"/>
        </w:rPr>
        <w:t xml:space="preserve">, and it is kept in the </w:t>
      </w:r>
      <w:r w:rsidR="005F5ADF">
        <w:rPr>
          <w:rFonts w:ascii="Times New Roman" w:hAnsi="Times New Roman" w:cs="Times New Roman"/>
          <w:sz w:val="24"/>
          <w:szCs w:val="24"/>
        </w:rPr>
        <w:t>refrigerator at the OR pharmacy and in cardiac rooms.</w:t>
      </w:r>
    </w:p>
    <w:p w:rsidR="00F74639" w:rsidRPr="005F5ADF" w:rsidRDefault="00F74639" w:rsidP="00F74639">
      <w:pPr>
        <w:rPr>
          <w:rFonts w:ascii="Times New Roman" w:hAnsi="Times New Roman" w:cs="Times New Roman"/>
          <w:sz w:val="24"/>
          <w:szCs w:val="24"/>
        </w:rPr>
      </w:pPr>
      <w:r w:rsidRPr="005F5ADF">
        <w:rPr>
          <w:rFonts w:ascii="Times New Roman" w:hAnsi="Times New Roman" w:cs="Times New Roman"/>
          <w:sz w:val="24"/>
          <w:szCs w:val="24"/>
        </w:rPr>
        <w:t xml:space="preserve">Optimal </w:t>
      </w:r>
      <w:proofErr w:type="spellStart"/>
      <w:r w:rsidRPr="005F5ADF">
        <w:rPr>
          <w:rFonts w:ascii="Times New Roman" w:hAnsi="Times New Roman" w:cs="Times New Roman"/>
          <w:sz w:val="24"/>
          <w:szCs w:val="24"/>
        </w:rPr>
        <w:t>intubating</w:t>
      </w:r>
      <w:proofErr w:type="spellEnd"/>
      <w:r w:rsidRPr="005F5ADF">
        <w:rPr>
          <w:rFonts w:ascii="Times New Roman" w:hAnsi="Times New Roman" w:cs="Times New Roman"/>
          <w:sz w:val="24"/>
          <w:szCs w:val="24"/>
        </w:rPr>
        <w:t xml:space="preserve"> conditions include complete relaxation of the vocal cords.  This can be achieved with deep anesthesia in the absence of NMB; however, a higher dose of anesthetic would be required, which can in turn have adverse effects.  Thus, NMBs are used in adults virtually every time the trachea is </w:t>
      </w:r>
      <w:proofErr w:type="spellStart"/>
      <w:r w:rsidRPr="005F5ADF">
        <w:rPr>
          <w:rFonts w:ascii="Times New Roman" w:hAnsi="Times New Roman" w:cs="Times New Roman"/>
          <w:sz w:val="24"/>
          <w:szCs w:val="24"/>
        </w:rPr>
        <w:t>intubated</w:t>
      </w:r>
      <w:proofErr w:type="spellEnd"/>
      <w:r w:rsidRPr="005F5ADF">
        <w:rPr>
          <w:rFonts w:ascii="Times New Roman" w:hAnsi="Times New Roman" w:cs="Times New Roman"/>
          <w:sz w:val="24"/>
          <w:szCs w:val="24"/>
        </w:rPr>
        <w:t>.</w:t>
      </w:r>
      <w:r w:rsidR="00D40FDD" w:rsidRPr="005F5ADF">
        <w:rPr>
          <w:rFonts w:ascii="Times New Roman" w:hAnsi="Times New Roman" w:cs="Times New Roman"/>
          <w:sz w:val="24"/>
          <w:szCs w:val="24"/>
        </w:rPr>
        <w:t xml:space="preserve">   Typical </w:t>
      </w:r>
      <w:proofErr w:type="spellStart"/>
      <w:r w:rsidR="00D40FDD" w:rsidRPr="005F5ADF">
        <w:rPr>
          <w:rFonts w:ascii="Times New Roman" w:hAnsi="Times New Roman" w:cs="Times New Roman"/>
          <w:sz w:val="24"/>
          <w:szCs w:val="24"/>
        </w:rPr>
        <w:t>intubating</w:t>
      </w:r>
      <w:proofErr w:type="spellEnd"/>
      <w:r w:rsidR="00D40FDD" w:rsidRPr="005F5ADF">
        <w:rPr>
          <w:rFonts w:ascii="Times New Roman" w:hAnsi="Times New Roman" w:cs="Times New Roman"/>
          <w:sz w:val="24"/>
          <w:szCs w:val="24"/>
        </w:rPr>
        <w:t xml:space="preserve"> doses are as follows: </w:t>
      </w:r>
    </w:p>
    <w:p w:rsidR="00D40FDD" w:rsidRPr="005F5ADF" w:rsidRDefault="00D40FDD" w:rsidP="004F5972">
      <w:pPr>
        <w:ind w:firstLine="720"/>
        <w:rPr>
          <w:rFonts w:ascii="Times New Roman" w:hAnsi="Times New Roman" w:cs="Times New Roman"/>
          <w:sz w:val="24"/>
          <w:szCs w:val="24"/>
        </w:rPr>
      </w:pPr>
      <w:proofErr w:type="spellStart"/>
      <w:r w:rsidRPr="005F5ADF">
        <w:rPr>
          <w:rFonts w:ascii="Times New Roman" w:hAnsi="Times New Roman" w:cs="Times New Roman"/>
          <w:sz w:val="24"/>
          <w:szCs w:val="24"/>
        </w:rPr>
        <w:t>Rocuronium</w:t>
      </w:r>
      <w:proofErr w:type="spellEnd"/>
      <w:r w:rsidRPr="005F5ADF">
        <w:rPr>
          <w:rFonts w:ascii="Times New Roman" w:hAnsi="Times New Roman" w:cs="Times New Roman"/>
          <w:sz w:val="24"/>
          <w:szCs w:val="24"/>
        </w:rPr>
        <w:t>: 0.6 mg/kg, up to 1.2 mg/kg for RSI</w:t>
      </w:r>
    </w:p>
    <w:p w:rsidR="00D40FDD" w:rsidRPr="005F5ADF" w:rsidRDefault="00D40FDD" w:rsidP="004F5972">
      <w:pPr>
        <w:ind w:firstLine="720"/>
        <w:rPr>
          <w:rFonts w:ascii="Times New Roman" w:hAnsi="Times New Roman" w:cs="Times New Roman"/>
          <w:sz w:val="24"/>
          <w:szCs w:val="24"/>
        </w:rPr>
      </w:pPr>
      <w:proofErr w:type="spellStart"/>
      <w:r w:rsidRPr="005F5ADF">
        <w:rPr>
          <w:rFonts w:ascii="Times New Roman" w:hAnsi="Times New Roman" w:cs="Times New Roman"/>
          <w:sz w:val="24"/>
          <w:szCs w:val="24"/>
        </w:rPr>
        <w:t>Vecuronium</w:t>
      </w:r>
      <w:proofErr w:type="spellEnd"/>
      <w:r w:rsidRPr="005F5ADF">
        <w:rPr>
          <w:rFonts w:ascii="Times New Roman" w:hAnsi="Times New Roman" w:cs="Times New Roman"/>
          <w:sz w:val="24"/>
          <w:szCs w:val="24"/>
        </w:rPr>
        <w:t>: 0.1 mg/kg</w:t>
      </w:r>
    </w:p>
    <w:p w:rsidR="00D40FDD" w:rsidRPr="005F5ADF" w:rsidRDefault="00D40FDD" w:rsidP="004F5972">
      <w:pPr>
        <w:ind w:firstLine="720"/>
        <w:rPr>
          <w:rFonts w:ascii="Times New Roman" w:hAnsi="Times New Roman" w:cs="Times New Roman"/>
          <w:sz w:val="24"/>
          <w:szCs w:val="24"/>
        </w:rPr>
      </w:pPr>
      <w:proofErr w:type="spellStart"/>
      <w:r w:rsidRPr="005F5ADF">
        <w:rPr>
          <w:rFonts w:ascii="Times New Roman" w:hAnsi="Times New Roman" w:cs="Times New Roman"/>
          <w:sz w:val="24"/>
          <w:szCs w:val="24"/>
        </w:rPr>
        <w:t>Cisatracurium</w:t>
      </w:r>
      <w:proofErr w:type="spellEnd"/>
      <w:r w:rsidRPr="005F5ADF">
        <w:rPr>
          <w:rFonts w:ascii="Times New Roman" w:hAnsi="Times New Roman" w:cs="Times New Roman"/>
          <w:sz w:val="24"/>
          <w:szCs w:val="24"/>
        </w:rPr>
        <w:t>: 0.2 mg/kg, up to 0.6 mg/kg for RSI</w:t>
      </w:r>
    </w:p>
    <w:p w:rsidR="001C54B6" w:rsidRPr="005F5ADF" w:rsidRDefault="003A540E">
      <w:pPr>
        <w:rPr>
          <w:rFonts w:ascii="Times New Roman" w:hAnsi="Times New Roman" w:cs="Times New Roman"/>
          <w:sz w:val="24"/>
          <w:szCs w:val="24"/>
        </w:rPr>
      </w:pPr>
      <w:r w:rsidRPr="005F5ADF">
        <w:rPr>
          <w:rFonts w:ascii="Times New Roman" w:hAnsi="Times New Roman" w:cs="Times New Roman"/>
          <w:sz w:val="24"/>
          <w:szCs w:val="24"/>
        </w:rPr>
        <w:t xml:space="preserve">NMB is monitored by stimulating peripheral nerves and observing muscle twitches.  Different muscle groups </w:t>
      </w:r>
      <w:r w:rsidR="005707A7" w:rsidRPr="005F5ADF">
        <w:rPr>
          <w:rFonts w:ascii="Times New Roman" w:hAnsi="Times New Roman" w:cs="Times New Roman"/>
          <w:sz w:val="24"/>
          <w:szCs w:val="24"/>
        </w:rPr>
        <w:t>have different susceptibilities, onset, and offset times.  The muscles of the larynx and diaphragm become paralyzed quickly and are quick to recover, whereas the muscles of the pharynx</w:t>
      </w:r>
      <w:r w:rsidR="00992905" w:rsidRPr="005F5ADF">
        <w:rPr>
          <w:rFonts w:ascii="Times New Roman" w:hAnsi="Times New Roman" w:cs="Times New Roman"/>
          <w:sz w:val="24"/>
          <w:szCs w:val="24"/>
        </w:rPr>
        <w:t xml:space="preserve"> </w:t>
      </w:r>
      <w:r w:rsidR="00270F23" w:rsidRPr="005F5ADF">
        <w:rPr>
          <w:rFonts w:ascii="Times New Roman" w:hAnsi="Times New Roman" w:cs="Times New Roman"/>
          <w:sz w:val="24"/>
          <w:szCs w:val="24"/>
        </w:rPr>
        <w:t xml:space="preserve">have slower onset and offset.  Twitch monitoring at the </w:t>
      </w:r>
      <w:proofErr w:type="spellStart"/>
      <w:r w:rsidR="00270F23" w:rsidRPr="005F5ADF">
        <w:rPr>
          <w:rFonts w:ascii="Times New Roman" w:hAnsi="Times New Roman" w:cs="Times New Roman"/>
          <w:sz w:val="24"/>
          <w:szCs w:val="24"/>
        </w:rPr>
        <w:t>corrugator</w:t>
      </w:r>
      <w:proofErr w:type="spellEnd"/>
      <w:r w:rsidR="00270F23" w:rsidRPr="005F5ADF">
        <w:rPr>
          <w:rFonts w:ascii="Times New Roman" w:hAnsi="Times New Roman" w:cs="Times New Roman"/>
          <w:sz w:val="24"/>
          <w:szCs w:val="24"/>
        </w:rPr>
        <w:t xml:space="preserve"> </w:t>
      </w:r>
      <w:proofErr w:type="spellStart"/>
      <w:r w:rsidR="00270F23" w:rsidRPr="005F5ADF">
        <w:rPr>
          <w:rFonts w:ascii="Times New Roman" w:hAnsi="Times New Roman" w:cs="Times New Roman"/>
          <w:sz w:val="24"/>
          <w:szCs w:val="24"/>
        </w:rPr>
        <w:t>supercilii</w:t>
      </w:r>
      <w:proofErr w:type="spellEnd"/>
      <w:r w:rsidR="00270F23" w:rsidRPr="005F5ADF">
        <w:rPr>
          <w:rFonts w:ascii="Times New Roman" w:hAnsi="Times New Roman" w:cs="Times New Roman"/>
          <w:sz w:val="24"/>
          <w:szCs w:val="24"/>
        </w:rPr>
        <w:t xml:space="preserve"> (medial eyebrow) reflects the time course of paralysis of the larynx and diaphragm, whereas twitch monitoring at the abductor </w:t>
      </w:r>
      <w:proofErr w:type="spellStart"/>
      <w:r w:rsidR="00270F23" w:rsidRPr="005F5ADF">
        <w:rPr>
          <w:rFonts w:ascii="Times New Roman" w:hAnsi="Times New Roman" w:cs="Times New Roman"/>
          <w:sz w:val="24"/>
          <w:szCs w:val="24"/>
        </w:rPr>
        <w:t>pollicis</w:t>
      </w:r>
      <w:proofErr w:type="spellEnd"/>
      <w:r w:rsidR="00270F23" w:rsidRPr="005F5ADF">
        <w:rPr>
          <w:rFonts w:ascii="Times New Roman" w:hAnsi="Times New Roman" w:cs="Times New Roman"/>
          <w:sz w:val="24"/>
          <w:szCs w:val="24"/>
        </w:rPr>
        <w:t xml:space="preserve"> better reflects that of the pharyngeal muscles.  Therefore, it follows that the </w:t>
      </w:r>
      <w:proofErr w:type="spellStart"/>
      <w:r w:rsidR="00270F23" w:rsidRPr="005F5ADF">
        <w:rPr>
          <w:rFonts w:ascii="Times New Roman" w:hAnsi="Times New Roman" w:cs="Times New Roman"/>
          <w:sz w:val="24"/>
          <w:szCs w:val="24"/>
        </w:rPr>
        <w:t>corrugator</w:t>
      </w:r>
      <w:proofErr w:type="spellEnd"/>
      <w:r w:rsidR="00270F23" w:rsidRPr="005F5ADF">
        <w:rPr>
          <w:rFonts w:ascii="Times New Roman" w:hAnsi="Times New Roman" w:cs="Times New Roman"/>
          <w:sz w:val="24"/>
          <w:szCs w:val="24"/>
        </w:rPr>
        <w:t xml:space="preserve"> twitch is a better indicator of </w:t>
      </w:r>
      <w:proofErr w:type="spellStart"/>
      <w:r w:rsidR="00270F23" w:rsidRPr="005F5ADF">
        <w:rPr>
          <w:rFonts w:ascii="Times New Roman" w:hAnsi="Times New Roman" w:cs="Times New Roman"/>
          <w:sz w:val="24"/>
          <w:szCs w:val="24"/>
        </w:rPr>
        <w:t>intubating</w:t>
      </w:r>
      <w:proofErr w:type="spellEnd"/>
      <w:r w:rsidR="00270F23" w:rsidRPr="005F5ADF">
        <w:rPr>
          <w:rFonts w:ascii="Times New Roman" w:hAnsi="Times New Roman" w:cs="Times New Roman"/>
          <w:sz w:val="24"/>
          <w:szCs w:val="24"/>
        </w:rPr>
        <w:t xml:space="preserve"> conditions than the abductor </w:t>
      </w:r>
      <w:proofErr w:type="spellStart"/>
      <w:r w:rsidR="00270F23" w:rsidRPr="005F5ADF">
        <w:rPr>
          <w:rFonts w:ascii="Times New Roman" w:hAnsi="Times New Roman" w:cs="Times New Roman"/>
          <w:sz w:val="24"/>
          <w:szCs w:val="24"/>
        </w:rPr>
        <w:t>pollicis</w:t>
      </w:r>
      <w:proofErr w:type="spellEnd"/>
      <w:r w:rsidR="00270F23" w:rsidRPr="005F5ADF">
        <w:rPr>
          <w:rFonts w:ascii="Times New Roman" w:hAnsi="Times New Roman" w:cs="Times New Roman"/>
          <w:sz w:val="24"/>
          <w:szCs w:val="24"/>
        </w:rPr>
        <w:t xml:space="preserve"> twitch, and vice versa for </w:t>
      </w:r>
      <w:proofErr w:type="spellStart"/>
      <w:r w:rsidR="00270F23" w:rsidRPr="005F5ADF">
        <w:rPr>
          <w:rFonts w:ascii="Times New Roman" w:hAnsi="Times New Roman" w:cs="Times New Roman"/>
          <w:sz w:val="24"/>
          <w:szCs w:val="24"/>
        </w:rPr>
        <w:t>extubating</w:t>
      </w:r>
      <w:proofErr w:type="spellEnd"/>
      <w:r w:rsidR="00270F23" w:rsidRPr="005F5ADF">
        <w:rPr>
          <w:rFonts w:ascii="Times New Roman" w:hAnsi="Times New Roman" w:cs="Times New Roman"/>
          <w:sz w:val="24"/>
          <w:szCs w:val="24"/>
        </w:rPr>
        <w:t xml:space="preserve"> conditions (as both the muscles of respiration and the muscles that protect the airway must recover in order to </w:t>
      </w:r>
      <w:proofErr w:type="spellStart"/>
      <w:r w:rsidR="00270F23" w:rsidRPr="005F5ADF">
        <w:rPr>
          <w:rFonts w:ascii="Times New Roman" w:hAnsi="Times New Roman" w:cs="Times New Roman"/>
          <w:sz w:val="24"/>
          <w:szCs w:val="24"/>
        </w:rPr>
        <w:t>extubate</w:t>
      </w:r>
      <w:proofErr w:type="spellEnd"/>
      <w:r w:rsidR="00270F23" w:rsidRPr="005F5ADF">
        <w:rPr>
          <w:rFonts w:ascii="Times New Roman" w:hAnsi="Times New Roman" w:cs="Times New Roman"/>
          <w:sz w:val="24"/>
          <w:szCs w:val="24"/>
        </w:rPr>
        <w:t xml:space="preserve"> </w:t>
      </w:r>
      <w:r w:rsidR="008367BD" w:rsidRPr="005F5ADF">
        <w:rPr>
          <w:rFonts w:ascii="Times New Roman" w:hAnsi="Times New Roman" w:cs="Times New Roman"/>
          <w:sz w:val="24"/>
          <w:szCs w:val="24"/>
        </w:rPr>
        <w:t>the trachea</w:t>
      </w:r>
      <w:r w:rsidR="00270F23" w:rsidRPr="005F5ADF">
        <w:rPr>
          <w:rFonts w:ascii="Times New Roman" w:hAnsi="Times New Roman" w:cs="Times New Roman"/>
          <w:sz w:val="24"/>
          <w:szCs w:val="24"/>
        </w:rPr>
        <w:t xml:space="preserve"> successfully).</w:t>
      </w:r>
    </w:p>
    <w:p w:rsidR="00AB33B0" w:rsidRPr="005F5ADF" w:rsidRDefault="00AB33B0">
      <w:pPr>
        <w:rPr>
          <w:rFonts w:ascii="Times New Roman" w:hAnsi="Times New Roman" w:cs="Times New Roman"/>
          <w:sz w:val="24"/>
          <w:szCs w:val="24"/>
        </w:rPr>
      </w:pPr>
      <w:r w:rsidRPr="005F5ADF">
        <w:rPr>
          <w:rFonts w:ascii="Times New Roman" w:hAnsi="Times New Roman" w:cs="Times New Roman"/>
          <w:sz w:val="24"/>
          <w:szCs w:val="24"/>
        </w:rPr>
        <w:t>In addition to facilitating intubation and decreasing the chance of patient movement during surgery, neuromuscular blockade is often requested for relaxati</w:t>
      </w:r>
      <w:r w:rsidR="00A9138B" w:rsidRPr="005F5ADF">
        <w:rPr>
          <w:rFonts w:ascii="Times New Roman" w:hAnsi="Times New Roman" w:cs="Times New Roman"/>
          <w:sz w:val="24"/>
          <w:szCs w:val="24"/>
        </w:rPr>
        <w:t>on of the abdominal musculature.</w:t>
      </w:r>
      <w:r w:rsidR="007E14BE" w:rsidRPr="005F5ADF">
        <w:rPr>
          <w:rFonts w:ascii="Times New Roman" w:hAnsi="Times New Roman" w:cs="Times New Roman"/>
          <w:sz w:val="24"/>
          <w:szCs w:val="24"/>
        </w:rPr>
        <w:t xml:space="preserve">  Whether or not NMB actually improves operating conditions in abdominal surgery is a subject of controversy.</w:t>
      </w:r>
      <w:bookmarkStart w:id="0" w:name="_GoBack"/>
      <w:bookmarkEnd w:id="0"/>
      <w:r w:rsidR="009C2886" w:rsidRPr="005F5ADF">
        <w:rPr>
          <w:rFonts w:ascii="Times New Roman" w:hAnsi="Times New Roman" w:cs="Times New Roman"/>
          <w:sz w:val="24"/>
          <w:szCs w:val="24"/>
        </w:rPr>
        <w:t xml:space="preserve">  There is a paucity of literature on this subject.  </w:t>
      </w:r>
      <w:r w:rsidR="00925B54" w:rsidRPr="005F5ADF">
        <w:rPr>
          <w:rFonts w:ascii="Times New Roman" w:hAnsi="Times New Roman" w:cs="Times New Roman"/>
          <w:sz w:val="24"/>
          <w:szCs w:val="24"/>
        </w:rPr>
        <w:t xml:space="preserve">A French study of 50 patients undergoing gynecologic laparoscopy showed that the use or non-use of </w:t>
      </w:r>
      <w:proofErr w:type="spellStart"/>
      <w:r w:rsidR="00925B54" w:rsidRPr="005F5ADF">
        <w:rPr>
          <w:rFonts w:ascii="Times New Roman" w:hAnsi="Times New Roman" w:cs="Times New Roman"/>
          <w:sz w:val="24"/>
          <w:szCs w:val="24"/>
        </w:rPr>
        <w:t>atracurium</w:t>
      </w:r>
      <w:proofErr w:type="spellEnd"/>
      <w:r w:rsidR="00925B54" w:rsidRPr="005F5ADF">
        <w:rPr>
          <w:rFonts w:ascii="Times New Roman" w:hAnsi="Times New Roman" w:cs="Times New Roman"/>
          <w:sz w:val="24"/>
          <w:szCs w:val="24"/>
        </w:rPr>
        <w:t xml:space="preserve"> </w:t>
      </w:r>
      <w:r w:rsidR="00AF5FAF" w:rsidRPr="005F5ADF">
        <w:rPr>
          <w:rFonts w:ascii="Times New Roman" w:hAnsi="Times New Roman" w:cs="Times New Roman"/>
          <w:sz w:val="24"/>
          <w:szCs w:val="24"/>
        </w:rPr>
        <w:t xml:space="preserve">titrated to twitch height &lt; 10% of the control value </w:t>
      </w:r>
      <w:r w:rsidR="00925B54" w:rsidRPr="005F5ADF">
        <w:rPr>
          <w:rFonts w:ascii="Times New Roman" w:hAnsi="Times New Roman" w:cs="Times New Roman"/>
          <w:sz w:val="24"/>
          <w:szCs w:val="24"/>
        </w:rPr>
        <w:t>did not affect operating conditions as assessed on a 4-point scale</w:t>
      </w:r>
      <w:r w:rsidR="00AF5FAF" w:rsidRPr="005F5ADF">
        <w:rPr>
          <w:rFonts w:ascii="Times New Roman" w:hAnsi="Times New Roman" w:cs="Times New Roman"/>
          <w:sz w:val="24"/>
          <w:szCs w:val="24"/>
        </w:rPr>
        <w:t xml:space="preserve"> at 10-min intervals throughout the cases</w:t>
      </w:r>
      <w:r w:rsidR="00925B54" w:rsidRPr="005F5ADF">
        <w:rPr>
          <w:rFonts w:ascii="Times New Roman" w:hAnsi="Times New Roman" w:cs="Times New Roman"/>
          <w:sz w:val="24"/>
          <w:szCs w:val="24"/>
        </w:rPr>
        <w:t xml:space="preserve">.  </w:t>
      </w:r>
      <w:r w:rsidR="00131B95" w:rsidRPr="005F5ADF">
        <w:rPr>
          <w:rFonts w:ascii="Times New Roman" w:hAnsi="Times New Roman" w:cs="Times New Roman"/>
          <w:sz w:val="24"/>
          <w:szCs w:val="24"/>
        </w:rPr>
        <w:t xml:space="preserve">However, many surgeons believe that relaxation of the abdominal wall musculature is beneficial, and they may specifically ask for paralysis during the case.  </w:t>
      </w:r>
      <w:r w:rsidR="001D0213" w:rsidRPr="005F5ADF">
        <w:rPr>
          <w:rFonts w:ascii="Times New Roman" w:hAnsi="Times New Roman" w:cs="Times New Roman"/>
          <w:sz w:val="24"/>
          <w:szCs w:val="24"/>
        </w:rPr>
        <w:t xml:space="preserve">In this case, it may be best to fulfill the surgeon’s request without </w:t>
      </w:r>
      <w:r w:rsidR="001D0213" w:rsidRPr="005F5ADF">
        <w:rPr>
          <w:rFonts w:ascii="Times New Roman" w:hAnsi="Times New Roman" w:cs="Times New Roman"/>
          <w:sz w:val="24"/>
          <w:szCs w:val="24"/>
        </w:rPr>
        <w:lastRenderedPageBreak/>
        <w:t xml:space="preserve">argument, as a discussion of the risks vs. benefits of maintaining muscle relaxation is probably not beneficial to the relationship between the surgical and anesthesia teams.  </w:t>
      </w:r>
      <w:r w:rsidR="009C2886" w:rsidRPr="005F5ADF">
        <w:rPr>
          <w:rFonts w:ascii="Times New Roman" w:hAnsi="Times New Roman" w:cs="Times New Roman"/>
          <w:sz w:val="24"/>
          <w:szCs w:val="24"/>
        </w:rPr>
        <w:t xml:space="preserve">Conventional practice suggests a </w:t>
      </w:r>
      <w:r w:rsidR="00A7209B" w:rsidRPr="005F5ADF">
        <w:rPr>
          <w:rFonts w:ascii="Times New Roman" w:hAnsi="Times New Roman" w:cs="Times New Roman"/>
          <w:sz w:val="24"/>
          <w:szCs w:val="24"/>
        </w:rPr>
        <w:t xml:space="preserve">keeping the </w:t>
      </w:r>
      <w:r w:rsidR="00FA3A7D" w:rsidRPr="005F5ADF">
        <w:rPr>
          <w:rFonts w:ascii="Times New Roman" w:hAnsi="Times New Roman" w:cs="Times New Roman"/>
          <w:sz w:val="24"/>
          <w:szCs w:val="24"/>
        </w:rPr>
        <w:t>train of four at 1/4</w:t>
      </w:r>
      <w:r w:rsidR="009C2886" w:rsidRPr="005F5ADF">
        <w:rPr>
          <w:rFonts w:ascii="Times New Roman" w:hAnsi="Times New Roman" w:cs="Times New Roman"/>
          <w:sz w:val="24"/>
          <w:szCs w:val="24"/>
        </w:rPr>
        <w:t xml:space="preserve"> twitches throughout an abdominal case.</w:t>
      </w:r>
      <w:r w:rsidR="00131B95" w:rsidRPr="005F5ADF">
        <w:rPr>
          <w:rFonts w:ascii="Times New Roman" w:hAnsi="Times New Roman" w:cs="Times New Roman"/>
          <w:sz w:val="24"/>
          <w:szCs w:val="24"/>
        </w:rPr>
        <w:t xml:space="preserve">  This allows for reversal should the case end sooner than expected.</w:t>
      </w:r>
    </w:p>
    <w:p w:rsidR="00CB5DC3" w:rsidRDefault="00CB5DC3">
      <w:pPr>
        <w:rPr>
          <w:rFonts w:ascii="Times New Roman" w:hAnsi="Times New Roman" w:cs="Times New Roman"/>
          <w:sz w:val="24"/>
          <w:szCs w:val="24"/>
        </w:rPr>
      </w:pPr>
      <w:r w:rsidRPr="005F5ADF">
        <w:rPr>
          <w:rFonts w:ascii="Times New Roman" w:hAnsi="Times New Roman" w:cs="Times New Roman"/>
          <w:sz w:val="24"/>
          <w:szCs w:val="24"/>
        </w:rPr>
        <w:t xml:space="preserve">One word of caution: Dr. </w:t>
      </w:r>
      <w:r w:rsidR="00DA6073" w:rsidRPr="005F5ADF">
        <w:rPr>
          <w:rFonts w:ascii="Times New Roman" w:hAnsi="Times New Roman" w:cs="Times New Roman"/>
          <w:sz w:val="24"/>
          <w:szCs w:val="24"/>
        </w:rPr>
        <w:t>Gregg</w:t>
      </w:r>
      <w:r w:rsidRPr="005F5ADF">
        <w:rPr>
          <w:rFonts w:ascii="Times New Roman" w:hAnsi="Times New Roman" w:cs="Times New Roman"/>
          <w:sz w:val="24"/>
          <w:szCs w:val="24"/>
        </w:rPr>
        <w:t xml:space="preserve"> is extremely fast with both </w:t>
      </w:r>
      <w:r w:rsidR="00971348" w:rsidRPr="005F5ADF">
        <w:rPr>
          <w:rFonts w:ascii="Times New Roman" w:hAnsi="Times New Roman" w:cs="Times New Roman"/>
          <w:sz w:val="24"/>
          <w:szCs w:val="24"/>
        </w:rPr>
        <w:t xml:space="preserve">open and laparoscopic cases, and many residents have had the unfortunate </w:t>
      </w:r>
      <w:r w:rsidR="00EA167E">
        <w:rPr>
          <w:rFonts w:ascii="Times New Roman" w:hAnsi="Times New Roman" w:cs="Times New Roman"/>
          <w:sz w:val="24"/>
          <w:szCs w:val="24"/>
        </w:rPr>
        <w:t xml:space="preserve">experience of giving a dose of </w:t>
      </w:r>
      <w:proofErr w:type="spellStart"/>
      <w:r w:rsidR="00EA167E">
        <w:rPr>
          <w:rFonts w:ascii="Times New Roman" w:hAnsi="Times New Roman" w:cs="Times New Roman"/>
          <w:sz w:val="24"/>
          <w:szCs w:val="24"/>
        </w:rPr>
        <w:t>R</w:t>
      </w:r>
      <w:r w:rsidR="00971348" w:rsidRPr="005F5ADF">
        <w:rPr>
          <w:rFonts w:ascii="Times New Roman" w:hAnsi="Times New Roman" w:cs="Times New Roman"/>
          <w:sz w:val="24"/>
          <w:szCs w:val="24"/>
        </w:rPr>
        <w:t>ocuronium</w:t>
      </w:r>
      <w:proofErr w:type="spellEnd"/>
      <w:r w:rsidR="00971348" w:rsidRPr="005F5ADF">
        <w:rPr>
          <w:rFonts w:ascii="Times New Roman" w:hAnsi="Times New Roman" w:cs="Times New Roman"/>
          <w:sz w:val="24"/>
          <w:szCs w:val="24"/>
        </w:rPr>
        <w:t xml:space="preserve"> only to hear him say “We’re finished” several minutes later.  </w:t>
      </w:r>
      <w:r w:rsidR="00313B49" w:rsidRPr="005F5ADF">
        <w:rPr>
          <w:rFonts w:ascii="Times New Roman" w:hAnsi="Times New Roman" w:cs="Times New Roman"/>
          <w:sz w:val="24"/>
          <w:szCs w:val="24"/>
        </w:rPr>
        <w:t xml:space="preserve">We suggest avoiding additional doses of neuromuscular blockers after the </w:t>
      </w:r>
      <w:proofErr w:type="spellStart"/>
      <w:r w:rsidR="00313B49" w:rsidRPr="005F5ADF">
        <w:rPr>
          <w:rFonts w:ascii="Times New Roman" w:hAnsi="Times New Roman" w:cs="Times New Roman"/>
          <w:sz w:val="24"/>
          <w:szCs w:val="24"/>
        </w:rPr>
        <w:t>intubating</w:t>
      </w:r>
      <w:proofErr w:type="spellEnd"/>
      <w:r w:rsidR="00313B49" w:rsidRPr="005F5ADF">
        <w:rPr>
          <w:rFonts w:ascii="Times New Roman" w:hAnsi="Times New Roman" w:cs="Times New Roman"/>
          <w:sz w:val="24"/>
          <w:szCs w:val="24"/>
        </w:rPr>
        <w:t xml:space="preserve"> dose unless he specifically asks for them.</w:t>
      </w:r>
    </w:p>
    <w:p w:rsidR="00EA167E" w:rsidRPr="005F5ADF" w:rsidRDefault="00EA167E">
      <w:pPr>
        <w:rPr>
          <w:rFonts w:ascii="Times New Roman" w:hAnsi="Times New Roman" w:cs="Times New Roman"/>
          <w:sz w:val="24"/>
          <w:szCs w:val="24"/>
        </w:rPr>
      </w:pPr>
      <w:r>
        <w:rPr>
          <w:rFonts w:ascii="Times New Roman" w:hAnsi="Times New Roman" w:cs="Times New Roman"/>
          <w:sz w:val="24"/>
          <w:szCs w:val="24"/>
        </w:rPr>
        <w:t>Dr. Morton will constantly ask for paralysis despite zero twitches!! Please contact your attending if you are uncertain about what to do.</w:t>
      </w:r>
    </w:p>
    <w:p w:rsidR="00601479" w:rsidRPr="005F5ADF" w:rsidRDefault="00601479">
      <w:pPr>
        <w:rPr>
          <w:rFonts w:ascii="Times New Roman" w:hAnsi="Times New Roman" w:cs="Times New Roman"/>
          <w:sz w:val="24"/>
          <w:szCs w:val="24"/>
        </w:rPr>
      </w:pPr>
    </w:p>
    <w:p w:rsidR="004344D6" w:rsidRPr="005F5ADF" w:rsidRDefault="004D355D">
      <w:pPr>
        <w:rPr>
          <w:rFonts w:ascii="Times New Roman" w:hAnsi="Times New Roman" w:cs="Times New Roman"/>
          <w:b/>
          <w:sz w:val="24"/>
          <w:szCs w:val="24"/>
        </w:rPr>
      </w:pPr>
      <w:r w:rsidRPr="005F5ADF">
        <w:rPr>
          <w:rFonts w:ascii="Times New Roman" w:hAnsi="Times New Roman" w:cs="Times New Roman"/>
          <w:b/>
          <w:sz w:val="24"/>
          <w:szCs w:val="24"/>
        </w:rPr>
        <w:t>Board Review Questions</w:t>
      </w:r>
    </w:p>
    <w:p w:rsidR="004344D6" w:rsidRPr="005F5ADF" w:rsidRDefault="004344D6" w:rsidP="004344D6">
      <w:pPr>
        <w:pStyle w:val="ListParagraph"/>
        <w:numPr>
          <w:ilvl w:val="0"/>
          <w:numId w:val="1"/>
        </w:numPr>
        <w:rPr>
          <w:rFonts w:ascii="Times New Roman" w:hAnsi="Times New Roman" w:cs="Times New Roman"/>
          <w:sz w:val="24"/>
          <w:szCs w:val="24"/>
        </w:rPr>
      </w:pPr>
      <w:r w:rsidRPr="005F5ADF">
        <w:rPr>
          <w:rFonts w:ascii="Times New Roman" w:hAnsi="Times New Roman" w:cs="Times New Roman"/>
          <w:sz w:val="24"/>
          <w:szCs w:val="24"/>
        </w:rPr>
        <w:t>Which of the following muscle groups demonstrates the earliest recovery from neuromuscular blockade following administration of an anticholinesterase agent?</w:t>
      </w:r>
    </w:p>
    <w:p w:rsidR="004344D6" w:rsidRPr="005F5ADF" w:rsidRDefault="004344D6" w:rsidP="004344D6">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Adductor pollicis</w:t>
      </w:r>
    </w:p>
    <w:p w:rsidR="004344D6" w:rsidRPr="005F5ADF" w:rsidRDefault="004344D6" w:rsidP="004344D6">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Diaphragm</w:t>
      </w:r>
    </w:p>
    <w:p w:rsidR="004344D6" w:rsidRPr="005F5ADF" w:rsidRDefault="004344D6" w:rsidP="004344D6">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Geniohyoid</w:t>
      </w:r>
    </w:p>
    <w:p w:rsidR="004344D6" w:rsidRPr="005F5ADF" w:rsidRDefault="004344D6" w:rsidP="004344D6">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Pharyngeal</w:t>
      </w:r>
    </w:p>
    <w:p w:rsidR="004344D6" w:rsidRPr="005F5ADF" w:rsidRDefault="004344D6" w:rsidP="004344D6">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Flexor hallucis</w:t>
      </w:r>
    </w:p>
    <w:p w:rsidR="005F2CAB" w:rsidRPr="005F5ADF" w:rsidRDefault="004344D6" w:rsidP="005F2CAB">
      <w:pPr>
        <w:ind w:left="720"/>
        <w:rPr>
          <w:rFonts w:ascii="Times New Roman" w:hAnsi="Times New Roman" w:cs="Times New Roman"/>
          <w:sz w:val="24"/>
          <w:szCs w:val="24"/>
        </w:rPr>
      </w:pPr>
      <w:r w:rsidRPr="005F5ADF">
        <w:rPr>
          <w:rFonts w:ascii="Times New Roman" w:hAnsi="Times New Roman" w:cs="Times New Roman"/>
          <w:sz w:val="24"/>
          <w:szCs w:val="24"/>
        </w:rPr>
        <w:t>Answer: B.  The diaphragm exhibits the most rapid recovery from neuromuscular blockade.  Recovery o f upper airway and pharyngeal muscles (e.g., geniohyoid) and flexor hallucis muscle generally parallels that of the adductor pollicis.</w:t>
      </w:r>
    </w:p>
    <w:p w:rsidR="005A60CF" w:rsidRPr="005F5ADF" w:rsidRDefault="005A60CF" w:rsidP="005F2CAB">
      <w:pPr>
        <w:ind w:left="720"/>
        <w:rPr>
          <w:rFonts w:ascii="Times New Roman" w:hAnsi="Times New Roman" w:cs="Times New Roman"/>
          <w:sz w:val="24"/>
          <w:szCs w:val="24"/>
        </w:rPr>
      </w:pPr>
      <w:r w:rsidRPr="005F5ADF">
        <w:rPr>
          <w:rFonts w:ascii="Times New Roman" w:hAnsi="Times New Roman" w:cs="Times New Roman"/>
          <w:sz w:val="24"/>
          <w:szCs w:val="24"/>
        </w:rPr>
        <w:t xml:space="preserve">Source: Connelly and Silverman, </w:t>
      </w:r>
      <w:r w:rsidRPr="005F5ADF">
        <w:rPr>
          <w:rFonts w:ascii="Times New Roman" w:hAnsi="Times New Roman" w:cs="Times New Roman"/>
          <w:i/>
          <w:sz w:val="24"/>
          <w:szCs w:val="24"/>
        </w:rPr>
        <w:t>Review of Clinical Anesthesia</w:t>
      </w:r>
      <w:r w:rsidRPr="005F5ADF">
        <w:rPr>
          <w:rFonts w:ascii="Times New Roman" w:hAnsi="Times New Roman" w:cs="Times New Roman"/>
          <w:sz w:val="24"/>
          <w:szCs w:val="24"/>
        </w:rPr>
        <w:t>, 4</w:t>
      </w:r>
      <w:r w:rsidRPr="005F5ADF">
        <w:rPr>
          <w:rFonts w:ascii="Times New Roman" w:hAnsi="Times New Roman" w:cs="Times New Roman"/>
          <w:sz w:val="24"/>
          <w:szCs w:val="24"/>
          <w:vertAlign w:val="superscript"/>
        </w:rPr>
        <w:t>th</w:t>
      </w:r>
      <w:r w:rsidRPr="005F5ADF">
        <w:rPr>
          <w:rFonts w:ascii="Times New Roman" w:hAnsi="Times New Roman" w:cs="Times New Roman"/>
          <w:sz w:val="24"/>
          <w:szCs w:val="24"/>
        </w:rPr>
        <w:t xml:space="preserve"> ed.</w:t>
      </w:r>
      <w:r w:rsidR="00D15A49" w:rsidRPr="005F5ADF">
        <w:rPr>
          <w:rFonts w:ascii="Times New Roman" w:hAnsi="Times New Roman" w:cs="Times New Roman"/>
          <w:sz w:val="24"/>
          <w:szCs w:val="24"/>
        </w:rPr>
        <w:t>, 2006.</w:t>
      </w:r>
    </w:p>
    <w:p w:rsidR="005F2CAB" w:rsidRPr="005F5ADF" w:rsidRDefault="005F2CAB" w:rsidP="005F2CAB">
      <w:pPr>
        <w:pStyle w:val="ListParagraph"/>
        <w:numPr>
          <w:ilvl w:val="0"/>
          <w:numId w:val="1"/>
        </w:numPr>
        <w:rPr>
          <w:rFonts w:ascii="Times New Roman" w:hAnsi="Times New Roman" w:cs="Times New Roman"/>
          <w:sz w:val="24"/>
          <w:szCs w:val="24"/>
        </w:rPr>
      </w:pPr>
      <w:r w:rsidRPr="005F5ADF">
        <w:rPr>
          <w:rFonts w:ascii="Times New Roman" w:hAnsi="Times New Roman" w:cs="Times New Roman"/>
          <w:sz w:val="24"/>
          <w:szCs w:val="24"/>
        </w:rPr>
        <w:t>A 58 year-old woman with a diagnosis of myasthenia gravis underwent a laparotomy.  Her anesthesia consisted of thiopental, nitrous oxide, fentanyl, and oxygen, with pancuronium as a muscle relaxant in a total dose of 1 mg.  During the procedure, the patient received an intravenous dose of gentamicin.  The patient remained apneic at the end of the procedure.  The cause of the apnea could be ascribed to all of the following EXCEPT:</w:t>
      </w:r>
    </w:p>
    <w:p w:rsidR="005F2CAB" w:rsidRPr="005F5ADF" w:rsidRDefault="005F2CAB" w:rsidP="005F2CAB">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Thiopental</w:t>
      </w:r>
    </w:p>
    <w:p w:rsidR="005F2CAB" w:rsidRPr="005F5ADF" w:rsidRDefault="005F2CAB" w:rsidP="005F2CAB">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Myasthenia gravis</w:t>
      </w:r>
    </w:p>
    <w:p w:rsidR="005F2CAB" w:rsidRPr="005F5ADF" w:rsidRDefault="005F2CAB" w:rsidP="005F2CAB">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Pancuronium</w:t>
      </w:r>
    </w:p>
    <w:p w:rsidR="005F2CAB" w:rsidRPr="005F5ADF" w:rsidRDefault="005F2CAB" w:rsidP="005F2CAB">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Fentanyl</w:t>
      </w:r>
    </w:p>
    <w:p w:rsidR="005F2CAB" w:rsidRPr="005F5ADF" w:rsidRDefault="005F2CAB" w:rsidP="005F2CAB">
      <w:pPr>
        <w:pStyle w:val="ListParagraph"/>
        <w:numPr>
          <w:ilvl w:val="1"/>
          <w:numId w:val="1"/>
        </w:numPr>
        <w:rPr>
          <w:rFonts w:ascii="Times New Roman" w:hAnsi="Times New Roman" w:cs="Times New Roman"/>
          <w:sz w:val="24"/>
          <w:szCs w:val="24"/>
        </w:rPr>
      </w:pPr>
      <w:r w:rsidRPr="005F5ADF">
        <w:rPr>
          <w:rFonts w:ascii="Times New Roman" w:hAnsi="Times New Roman" w:cs="Times New Roman"/>
          <w:sz w:val="24"/>
          <w:szCs w:val="24"/>
        </w:rPr>
        <w:t>Gentamicin</w:t>
      </w:r>
    </w:p>
    <w:p w:rsidR="005F2CAB" w:rsidRPr="005F5ADF" w:rsidRDefault="005F2CAB" w:rsidP="005F2CAB">
      <w:pPr>
        <w:ind w:left="720"/>
        <w:rPr>
          <w:rFonts w:ascii="Times New Roman" w:hAnsi="Times New Roman" w:cs="Times New Roman"/>
          <w:sz w:val="24"/>
          <w:szCs w:val="24"/>
        </w:rPr>
      </w:pPr>
      <w:r w:rsidRPr="005F5ADF">
        <w:rPr>
          <w:rFonts w:ascii="Times New Roman" w:hAnsi="Times New Roman" w:cs="Times New Roman"/>
          <w:sz w:val="24"/>
          <w:szCs w:val="24"/>
        </w:rPr>
        <w:lastRenderedPageBreak/>
        <w:t>Answer: A.  In the case cited, any of the options except thiopental may be involved in the apnea.  Thiopental, in usual doses, should not cause apnea after a procedure as long as a laparotomy.  Any of the other options or a combination of the options can be the cause.</w:t>
      </w:r>
      <w:r w:rsidR="000F2DB4" w:rsidRPr="005F5ADF">
        <w:rPr>
          <w:rFonts w:ascii="Times New Roman" w:hAnsi="Times New Roman" w:cs="Times New Roman"/>
          <w:sz w:val="24"/>
          <w:szCs w:val="24"/>
        </w:rPr>
        <w:t xml:space="preserve">   Aminoglycosides are associated with decreased muscle function or </w:t>
      </w:r>
      <w:proofErr w:type="spellStart"/>
      <w:r w:rsidR="000F2DB4" w:rsidRPr="005F5ADF">
        <w:rPr>
          <w:rFonts w:ascii="Times New Roman" w:hAnsi="Times New Roman" w:cs="Times New Roman"/>
          <w:sz w:val="24"/>
          <w:szCs w:val="24"/>
        </w:rPr>
        <w:t>potentiation</w:t>
      </w:r>
      <w:proofErr w:type="spellEnd"/>
      <w:r w:rsidR="000F2DB4" w:rsidRPr="005F5ADF">
        <w:rPr>
          <w:rFonts w:ascii="Times New Roman" w:hAnsi="Times New Roman" w:cs="Times New Roman"/>
          <w:sz w:val="24"/>
          <w:szCs w:val="24"/>
        </w:rPr>
        <w:t xml:space="preserve"> of muscle relaxants in a dose-related fashion.  This is probably due to a </w:t>
      </w:r>
      <w:proofErr w:type="spellStart"/>
      <w:r w:rsidR="000F2DB4" w:rsidRPr="005F5ADF">
        <w:rPr>
          <w:rFonts w:ascii="Times New Roman" w:hAnsi="Times New Roman" w:cs="Times New Roman"/>
          <w:sz w:val="24"/>
          <w:szCs w:val="24"/>
        </w:rPr>
        <w:t>prejunctional</w:t>
      </w:r>
      <w:proofErr w:type="spellEnd"/>
      <w:r w:rsidR="000F2DB4" w:rsidRPr="005F5ADF">
        <w:rPr>
          <w:rFonts w:ascii="Times New Roman" w:hAnsi="Times New Roman" w:cs="Times New Roman"/>
          <w:sz w:val="24"/>
          <w:szCs w:val="24"/>
        </w:rPr>
        <w:t xml:space="preserve"> inhibition of acetylcholine release.</w:t>
      </w:r>
    </w:p>
    <w:p w:rsidR="00C05B1E" w:rsidRPr="005F5ADF" w:rsidRDefault="00C05B1E" w:rsidP="005F2CAB">
      <w:pPr>
        <w:ind w:left="720"/>
        <w:rPr>
          <w:rFonts w:ascii="Times New Roman" w:hAnsi="Times New Roman" w:cs="Times New Roman"/>
          <w:sz w:val="24"/>
          <w:szCs w:val="24"/>
        </w:rPr>
      </w:pPr>
      <w:r w:rsidRPr="005F5ADF">
        <w:rPr>
          <w:rFonts w:ascii="Times New Roman" w:hAnsi="Times New Roman" w:cs="Times New Roman"/>
          <w:sz w:val="24"/>
          <w:szCs w:val="24"/>
        </w:rPr>
        <w:t xml:space="preserve">Source: Appleton &amp; Lange, </w:t>
      </w:r>
      <w:proofErr w:type="gramStart"/>
      <w:r w:rsidRPr="005F5ADF">
        <w:rPr>
          <w:rFonts w:ascii="Times New Roman" w:hAnsi="Times New Roman" w:cs="Times New Roman"/>
          <w:i/>
          <w:sz w:val="24"/>
          <w:szCs w:val="24"/>
        </w:rPr>
        <w:t>The</w:t>
      </w:r>
      <w:proofErr w:type="gramEnd"/>
      <w:r w:rsidRPr="005F5ADF">
        <w:rPr>
          <w:rFonts w:ascii="Times New Roman" w:hAnsi="Times New Roman" w:cs="Times New Roman"/>
          <w:i/>
          <w:sz w:val="24"/>
          <w:szCs w:val="24"/>
        </w:rPr>
        <w:t xml:space="preserve"> MGH Board Review of Anesthesiology</w:t>
      </w:r>
      <w:r w:rsidRPr="005F5ADF">
        <w:rPr>
          <w:rFonts w:ascii="Times New Roman" w:hAnsi="Times New Roman" w:cs="Times New Roman"/>
          <w:sz w:val="24"/>
          <w:szCs w:val="24"/>
        </w:rPr>
        <w:t>, 5</w:t>
      </w:r>
      <w:r w:rsidRPr="005F5ADF">
        <w:rPr>
          <w:rFonts w:ascii="Times New Roman" w:hAnsi="Times New Roman" w:cs="Times New Roman"/>
          <w:sz w:val="24"/>
          <w:szCs w:val="24"/>
          <w:vertAlign w:val="superscript"/>
        </w:rPr>
        <w:t>th</w:t>
      </w:r>
      <w:r w:rsidRPr="005F5ADF">
        <w:rPr>
          <w:rFonts w:ascii="Times New Roman" w:hAnsi="Times New Roman" w:cs="Times New Roman"/>
          <w:sz w:val="24"/>
          <w:szCs w:val="24"/>
        </w:rPr>
        <w:t xml:space="preserve"> ed.</w:t>
      </w:r>
      <w:r w:rsidR="00D15A49" w:rsidRPr="005F5ADF">
        <w:rPr>
          <w:rFonts w:ascii="Times New Roman" w:hAnsi="Times New Roman" w:cs="Times New Roman"/>
          <w:sz w:val="24"/>
          <w:szCs w:val="24"/>
        </w:rPr>
        <w:t>, 1999.</w:t>
      </w:r>
    </w:p>
    <w:p w:rsidR="0045118A" w:rsidRPr="005F5ADF" w:rsidRDefault="0045118A" w:rsidP="0045118A">
      <w:pPr>
        <w:rPr>
          <w:rFonts w:ascii="Times New Roman" w:hAnsi="Times New Roman" w:cs="Times New Roman"/>
          <w:b/>
          <w:sz w:val="24"/>
          <w:szCs w:val="24"/>
        </w:rPr>
      </w:pPr>
      <w:r w:rsidRPr="005F5ADF">
        <w:rPr>
          <w:rFonts w:ascii="Times New Roman" w:hAnsi="Times New Roman" w:cs="Times New Roman"/>
          <w:b/>
          <w:sz w:val="24"/>
          <w:szCs w:val="24"/>
        </w:rPr>
        <w:t>References</w:t>
      </w:r>
    </w:p>
    <w:p w:rsidR="0045118A" w:rsidRPr="005F5ADF" w:rsidRDefault="0045118A" w:rsidP="0045118A">
      <w:pPr>
        <w:rPr>
          <w:rFonts w:ascii="Times New Roman" w:hAnsi="Times New Roman" w:cs="Times New Roman"/>
          <w:sz w:val="24"/>
          <w:szCs w:val="24"/>
        </w:rPr>
      </w:pPr>
      <w:proofErr w:type="spellStart"/>
      <w:r w:rsidRPr="005F5ADF">
        <w:rPr>
          <w:rFonts w:ascii="Times New Roman" w:hAnsi="Times New Roman" w:cs="Times New Roman"/>
          <w:sz w:val="24"/>
          <w:szCs w:val="24"/>
        </w:rPr>
        <w:t>Chassard</w:t>
      </w:r>
      <w:proofErr w:type="spellEnd"/>
      <w:r w:rsidRPr="005F5ADF">
        <w:rPr>
          <w:rFonts w:ascii="Times New Roman" w:hAnsi="Times New Roman" w:cs="Times New Roman"/>
          <w:sz w:val="24"/>
          <w:szCs w:val="24"/>
        </w:rPr>
        <w:t xml:space="preserve"> D et al.  </w:t>
      </w:r>
      <w:proofErr w:type="gramStart"/>
      <w:r w:rsidRPr="005F5ADF">
        <w:rPr>
          <w:rFonts w:ascii="Times New Roman" w:hAnsi="Times New Roman" w:cs="Times New Roman"/>
          <w:sz w:val="24"/>
          <w:szCs w:val="24"/>
        </w:rPr>
        <w:t>[Gynecologic laparoscopy with or without curare].</w:t>
      </w:r>
      <w:proofErr w:type="gramEnd"/>
      <w:r w:rsidRPr="005F5ADF">
        <w:rPr>
          <w:rFonts w:ascii="Times New Roman" w:hAnsi="Times New Roman" w:cs="Times New Roman"/>
          <w:sz w:val="24"/>
          <w:szCs w:val="24"/>
        </w:rPr>
        <w:t xml:space="preserve">  </w:t>
      </w:r>
      <w:proofErr w:type="gramStart"/>
      <w:r w:rsidRPr="005F5ADF">
        <w:rPr>
          <w:rFonts w:ascii="Times New Roman" w:hAnsi="Times New Roman" w:cs="Times New Roman"/>
          <w:sz w:val="24"/>
          <w:szCs w:val="24"/>
        </w:rPr>
        <w:t>Article in French.</w:t>
      </w:r>
      <w:proofErr w:type="gramEnd"/>
      <w:r w:rsidRPr="005F5ADF">
        <w:rPr>
          <w:rFonts w:ascii="Times New Roman" w:hAnsi="Times New Roman" w:cs="Times New Roman"/>
          <w:sz w:val="24"/>
          <w:szCs w:val="24"/>
        </w:rPr>
        <w:t xml:space="preserve">  Ann Fr </w:t>
      </w:r>
      <w:proofErr w:type="spellStart"/>
      <w:r w:rsidRPr="005F5ADF">
        <w:rPr>
          <w:rFonts w:ascii="Times New Roman" w:hAnsi="Times New Roman" w:cs="Times New Roman"/>
          <w:sz w:val="24"/>
          <w:szCs w:val="24"/>
        </w:rPr>
        <w:t>Anesth</w:t>
      </w:r>
      <w:proofErr w:type="spellEnd"/>
      <w:r w:rsidRPr="005F5ADF">
        <w:rPr>
          <w:rFonts w:ascii="Times New Roman" w:hAnsi="Times New Roman" w:cs="Times New Roman"/>
          <w:sz w:val="24"/>
          <w:szCs w:val="24"/>
        </w:rPr>
        <w:t xml:space="preserve"> </w:t>
      </w:r>
      <w:proofErr w:type="spellStart"/>
      <w:r w:rsidRPr="005F5ADF">
        <w:rPr>
          <w:rFonts w:ascii="Times New Roman" w:hAnsi="Times New Roman" w:cs="Times New Roman"/>
          <w:sz w:val="24"/>
          <w:szCs w:val="24"/>
        </w:rPr>
        <w:t>Reanim</w:t>
      </w:r>
      <w:proofErr w:type="spellEnd"/>
      <w:r w:rsidRPr="005F5ADF">
        <w:rPr>
          <w:rFonts w:ascii="Times New Roman" w:hAnsi="Times New Roman" w:cs="Times New Roman"/>
          <w:sz w:val="24"/>
          <w:szCs w:val="24"/>
        </w:rPr>
        <w:t>. 1996</w:t>
      </w:r>
      <w:proofErr w:type="gramStart"/>
      <w:r w:rsidRPr="005F5ADF">
        <w:rPr>
          <w:rFonts w:ascii="Times New Roman" w:hAnsi="Times New Roman" w:cs="Times New Roman"/>
          <w:sz w:val="24"/>
          <w:szCs w:val="24"/>
        </w:rPr>
        <w:t>;15</w:t>
      </w:r>
      <w:proofErr w:type="gramEnd"/>
      <w:r w:rsidRPr="005F5ADF">
        <w:rPr>
          <w:rFonts w:ascii="Times New Roman" w:hAnsi="Times New Roman" w:cs="Times New Roman"/>
          <w:sz w:val="24"/>
          <w:szCs w:val="24"/>
        </w:rPr>
        <w:t>(7):1013-7.</w:t>
      </w:r>
    </w:p>
    <w:p w:rsidR="0045118A" w:rsidRPr="005F5ADF" w:rsidRDefault="0045118A" w:rsidP="0045118A">
      <w:pPr>
        <w:rPr>
          <w:rFonts w:ascii="Times New Roman" w:hAnsi="Times New Roman" w:cs="Times New Roman"/>
          <w:sz w:val="24"/>
          <w:szCs w:val="24"/>
        </w:rPr>
      </w:pPr>
      <w:proofErr w:type="spellStart"/>
      <w:proofErr w:type="gramStart"/>
      <w:r w:rsidRPr="005F5ADF">
        <w:rPr>
          <w:rFonts w:ascii="Times New Roman" w:hAnsi="Times New Roman" w:cs="Times New Roman"/>
          <w:sz w:val="24"/>
          <w:szCs w:val="24"/>
        </w:rPr>
        <w:t>Hemmerling</w:t>
      </w:r>
      <w:proofErr w:type="spellEnd"/>
      <w:r w:rsidRPr="005F5ADF">
        <w:rPr>
          <w:rFonts w:ascii="Times New Roman" w:hAnsi="Times New Roman" w:cs="Times New Roman"/>
          <w:sz w:val="24"/>
          <w:szCs w:val="24"/>
        </w:rPr>
        <w:t xml:space="preserve"> TM and </w:t>
      </w:r>
      <w:proofErr w:type="spellStart"/>
      <w:r w:rsidRPr="005F5ADF">
        <w:rPr>
          <w:rFonts w:ascii="Times New Roman" w:hAnsi="Times New Roman" w:cs="Times New Roman"/>
          <w:sz w:val="24"/>
          <w:szCs w:val="24"/>
        </w:rPr>
        <w:t>Donati</w:t>
      </w:r>
      <w:proofErr w:type="spellEnd"/>
      <w:r w:rsidRPr="005F5ADF">
        <w:rPr>
          <w:rFonts w:ascii="Times New Roman" w:hAnsi="Times New Roman" w:cs="Times New Roman"/>
          <w:sz w:val="24"/>
          <w:szCs w:val="24"/>
        </w:rPr>
        <w:t xml:space="preserve"> F.</w:t>
      </w:r>
      <w:proofErr w:type="gramEnd"/>
      <w:r w:rsidRPr="005F5ADF">
        <w:rPr>
          <w:rFonts w:ascii="Times New Roman" w:hAnsi="Times New Roman" w:cs="Times New Roman"/>
          <w:sz w:val="24"/>
          <w:szCs w:val="24"/>
        </w:rPr>
        <w:t xml:space="preserve">  Neuromuscular blockade at the larynx, the diaphragm, and the </w:t>
      </w:r>
      <w:proofErr w:type="spellStart"/>
      <w:r w:rsidRPr="005F5ADF">
        <w:rPr>
          <w:rFonts w:ascii="Times New Roman" w:hAnsi="Times New Roman" w:cs="Times New Roman"/>
          <w:sz w:val="24"/>
          <w:szCs w:val="24"/>
        </w:rPr>
        <w:t>corrugator</w:t>
      </w:r>
      <w:proofErr w:type="spellEnd"/>
      <w:r w:rsidRPr="005F5ADF">
        <w:rPr>
          <w:rFonts w:ascii="Times New Roman" w:hAnsi="Times New Roman" w:cs="Times New Roman"/>
          <w:sz w:val="24"/>
          <w:szCs w:val="24"/>
        </w:rPr>
        <w:t xml:space="preserve"> </w:t>
      </w:r>
      <w:proofErr w:type="spellStart"/>
      <w:r w:rsidRPr="005F5ADF">
        <w:rPr>
          <w:rFonts w:ascii="Times New Roman" w:hAnsi="Times New Roman" w:cs="Times New Roman"/>
          <w:sz w:val="24"/>
          <w:szCs w:val="24"/>
        </w:rPr>
        <w:t>supercilii</w:t>
      </w:r>
      <w:proofErr w:type="spellEnd"/>
      <w:r w:rsidRPr="005F5ADF">
        <w:rPr>
          <w:rFonts w:ascii="Times New Roman" w:hAnsi="Times New Roman" w:cs="Times New Roman"/>
          <w:sz w:val="24"/>
          <w:szCs w:val="24"/>
        </w:rPr>
        <w:t xml:space="preserve"> muscle: a review.  Can J </w:t>
      </w:r>
      <w:proofErr w:type="spellStart"/>
      <w:r w:rsidRPr="005F5ADF">
        <w:rPr>
          <w:rFonts w:ascii="Times New Roman" w:hAnsi="Times New Roman" w:cs="Times New Roman"/>
          <w:sz w:val="24"/>
          <w:szCs w:val="24"/>
        </w:rPr>
        <w:t>Anesth</w:t>
      </w:r>
      <w:proofErr w:type="spellEnd"/>
      <w:r w:rsidRPr="005F5ADF">
        <w:rPr>
          <w:rFonts w:ascii="Times New Roman" w:hAnsi="Times New Roman" w:cs="Times New Roman"/>
          <w:sz w:val="24"/>
          <w:szCs w:val="24"/>
        </w:rPr>
        <w:t xml:space="preserve"> 2003</w:t>
      </w:r>
      <w:proofErr w:type="gramStart"/>
      <w:r w:rsidRPr="005F5ADF">
        <w:rPr>
          <w:rFonts w:ascii="Times New Roman" w:hAnsi="Times New Roman" w:cs="Times New Roman"/>
          <w:sz w:val="24"/>
          <w:szCs w:val="24"/>
        </w:rPr>
        <w:t>;50</w:t>
      </w:r>
      <w:proofErr w:type="gramEnd"/>
      <w:r w:rsidRPr="005F5ADF">
        <w:rPr>
          <w:rFonts w:ascii="Times New Roman" w:hAnsi="Times New Roman" w:cs="Times New Roman"/>
          <w:sz w:val="24"/>
          <w:szCs w:val="24"/>
        </w:rPr>
        <w:t>(8);779-94.</w:t>
      </w:r>
    </w:p>
    <w:sectPr w:rsidR="0045118A" w:rsidRPr="005F5ADF" w:rsidSect="00800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2DF6"/>
    <w:multiLevelType w:val="hybridMultilevel"/>
    <w:tmpl w:val="0D1689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6902"/>
    <w:rsid w:val="00006737"/>
    <w:rsid w:val="00086902"/>
    <w:rsid w:val="000F2DB4"/>
    <w:rsid w:val="000F3948"/>
    <w:rsid w:val="00131B95"/>
    <w:rsid w:val="001C54B6"/>
    <w:rsid w:val="001D0213"/>
    <w:rsid w:val="002075C2"/>
    <w:rsid w:val="00253C10"/>
    <w:rsid w:val="00270F23"/>
    <w:rsid w:val="002F4D4D"/>
    <w:rsid w:val="00313B49"/>
    <w:rsid w:val="00316223"/>
    <w:rsid w:val="0036034D"/>
    <w:rsid w:val="003A540E"/>
    <w:rsid w:val="003B5F51"/>
    <w:rsid w:val="004344D6"/>
    <w:rsid w:val="004435E3"/>
    <w:rsid w:val="0045118A"/>
    <w:rsid w:val="00483A52"/>
    <w:rsid w:val="004D1ABF"/>
    <w:rsid w:val="004D355D"/>
    <w:rsid w:val="004D5941"/>
    <w:rsid w:val="004F5972"/>
    <w:rsid w:val="005707A7"/>
    <w:rsid w:val="005A60CF"/>
    <w:rsid w:val="005F2CAB"/>
    <w:rsid w:val="005F5ADF"/>
    <w:rsid w:val="00601479"/>
    <w:rsid w:val="0072333E"/>
    <w:rsid w:val="0075648E"/>
    <w:rsid w:val="007E14BE"/>
    <w:rsid w:val="00800810"/>
    <w:rsid w:val="008367BD"/>
    <w:rsid w:val="00836FB7"/>
    <w:rsid w:val="00925B54"/>
    <w:rsid w:val="00971348"/>
    <w:rsid w:val="00992905"/>
    <w:rsid w:val="009C2886"/>
    <w:rsid w:val="00A7209B"/>
    <w:rsid w:val="00A9138B"/>
    <w:rsid w:val="00AB33B0"/>
    <w:rsid w:val="00AF5FAF"/>
    <w:rsid w:val="00B41352"/>
    <w:rsid w:val="00BD246F"/>
    <w:rsid w:val="00C05B1E"/>
    <w:rsid w:val="00C42E0B"/>
    <w:rsid w:val="00C675AF"/>
    <w:rsid w:val="00CA650F"/>
    <w:rsid w:val="00CB5DC3"/>
    <w:rsid w:val="00D15A49"/>
    <w:rsid w:val="00D40FDD"/>
    <w:rsid w:val="00DA6073"/>
    <w:rsid w:val="00EA167E"/>
    <w:rsid w:val="00F74639"/>
    <w:rsid w:val="00FA3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923471">
      <w:bodyDiv w:val="1"/>
      <w:marLeft w:val="0"/>
      <w:marRight w:val="0"/>
      <w:marTop w:val="0"/>
      <w:marBottom w:val="0"/>
      <w:divBdr>
        <w:top w:val="none" w:sz="0" w:space="0" w:color="auto"/>
        <w:left w:val="none" w:sz="0" w:space="0" w:color="auto"/>
        <w:bottom w:val="none" w:sz="0" w:space="0" w:color="auto"/>
        <w:right w:val="none" w:sz="0" w:space="0" w:color="auto"/>
      </w:divBdr>
      <w:divsChild>
        <w:div w:id="1547834208">
          <w:marLeft w:val="0"/>
          <w:marRight w:val="0"/>
          <w:marTop w:val="0"/>
          <w:marBottom w:val="0"/>
          <w:divBdr>
            <w:top w:val="none" w:sz="0" w:space="0" w:color="auto"/>
            <w:left w:val="none" w:sz="0" w:space="0" w:color="auto"/>
            <w:bottom w:val="none" w:sz="0" w:space="0" w:color="auto"/>
            <w:right w:val="none" w:sz="0" w:space="0" w:color="auto"/>
          </w:divBdr>
        </w:div>
        <w:div w:id="1421869802">
          <w:marLeft w:val="0"/>
          <w:marRight w:val="0"/>
          <w:marTop w:val="0"/>
          <w:marBottom w:val="0"/>
          <w:divBdr>
            <w:top w:val="none" w:sz="0" w:space="0" w:color="auto"/>
            <w:left w:val="none" w:sz="0" w:space="0" w:color="auto"/>
            <w:bottom w:val="none" w:sz="0" w:space="0" w:color="auto"/>
            <w:right w:val="none" w:sz="0" w:space="0" w:color="auto"/>
          </w:divBdr>
        </w:div>
        <w:div w:id="1377387346">
          <w:marLeft w:val="0"/>
          <w:marRight w:val="0"/>
          <w:marTop w:val="0"/>
          <w:marBottom w:val="0"/>
          <w:divBdr>
            <w:top w:val="none" w:sz="0" w:space="0" w:color="auto"/>
            <w:left w:val="none" w:sz="0" w:space="0" w:color="auto"/>
            <w:bottom w:val="none" w:sz="0" w:space="0" w:color="auto"/>
            <w:right w:val="none" w:sz="0" w:space="0" w:color="auto"/>
          </w:divBdr>
        </w:div>
        <w:div w:id="792092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Basarab-Tung</dc:creator>
  <cp:lastModifiedBy>Al</cp:lastModifiedBy>
  <cp:revision>3</cp:revision>
  <dcterms:created xsi:type="dcterms:W3CDTF">2012-05-09T16:50:00Z</dcterms:created>
  <dcterms:modified xsi:type="dcterms:W3CDTF">2012-05-09T17:03:00Z</dcterms:modified>
</cp:coreProperties>
</file>